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7972" w:rsidRPr="00135DA7" w:rsidRDefault="00000000" w:rsidP="009211A7">
      <w:pPr>
        <w:pStyle w:val="Title"/>
        <w:rPr>
          <w:sz w:val="36"/>
          <w:szCs w:val="36"/>
        </w:rPr>
      </w:pPr>
      <w:r w:rsidRPr="00135DA7">
        <w:rPr>
          <w:sz w:val="36"/>
          <w:szCs w:val="36"/>
        </w:rPr>
        <w:t xml:space="preserve">An Open Letter on behalf of the 175 </w:t>
      </w:r>
      <w:proofErr w:type="gramStart"/>
      <w:r w:rsidRPr="00135DA7">
        <w:rPr>
          <w:sz w:val="36"/>
          <w:szCs w:val="36"/>
        </w:rPr>
        <w:t>Million</w:t>
      </w:r>
      <w:proofErr w:type="gramEnd"/>
      <w:r w:rsidRPr="00135DA7">
        <w:rPr>
          <w:sz w:val="36"/>
          <w:szCs w:val="36"/>
        </w:rPr>
        <w:t xml:space="preserve"> </w:t>
      </w:r>
      <w:proofErr w:type="spellStart"/>
      <w:r w:rsidRPr="00135DA7">
        <w:rPr>
          <w:sz w:val="36"/>
          <w:szCs w:val="36"/>
        </w:rPr>
        <w:t>under fives</w:t>
      </w:r>
      <w:proofErr w:type="spellEnd"/>
      <w:r w:rsidRPr="00135DA7">
        <w:rPr>
          <w:sz w:val="36"/>
          <w:szCs w:val="36"/>
        </w:rPr>
        <w:t xml:space="preserve"> excluded from early childhood education who can’t attend meetings.</w:t>
      </w:r>
    </w:p>
    <w:p w14:paraId="00000002" w14:textId="77777777" w:rsidR="003B7972" w:rsidRDefault="003B7972"/>
    <w:p w14:paraId="00000003" w14:textId="77777777" w:rsidR="003B7972" w:rsidRDefault="00000000">
      <w:pPr>
        <w:rPr>
          <w:b/>
        </w:rPr>
      </w:pPr>
      <w:r>
        <w:rPr>
          <w:b/>
        </w:rPr>
        <w:t xml:space="preserve">To: </w:t>
      </w:r>
    </w:p>
    <w:p w14:paraId="00000004" w14:textId="77777777" w:rsidR="003B7972" w:rsidRPr="009211A7" w:rsidRDefault="00000000" w:rsidP="009211A7">
      <w:pPr>
        <w:pStyle w:val="ListParagraph"/>
        <w:numPr>
          <w:ilvl w:val="0"/>
          <w:numId w:val="2"/>
        </w:numPr>
        <w:rPr>
          <w:b/>
        </w:rPr>
      </w:pPr>
      <w:r w:rsidRPr="009211A7">
        <w:rPr>
          <w:b/>
        </w:rPr>
        <w:t>António Guterres, United Nations Secretary-General</w:t>
      </w:r>
    </w:p>
    <w:p w14:paraId="00000005" w14:textId="77777777" w:rsidR="003B7972" w:rsidRPr="009211A7" w:rsidRDefault="00000000" w:rsidP="009211A7">
      <w:pPr>
        <w:pStyle w:val="ListParagraph"/>
        <w:numPr>
          <w:ilvl w:val="0"/>
          <w:numId w:val="2"/>
        </w:numPr>
        <w:rPr>
          <w:b/>
        </w:rPr>
      </w:pPr>
      <w:r w:rsidRPr="009211A7">
        <w:rPr>
          <w:b/>
        </w:rPr>
        <w:t xml:space="preserve">Member States of the United Nations </w:t>
      </w:r>
    </w:p>
    <w:p w14:paraId="00000006" w14:textId="77777777" w:rsidR="003B7972" w:rsidRPr="009211A7" w:rsidRDefault="00000000" w:rsidP="009211A7">
      <w:pPr>
        <w:pStyle w:val="ListParagraph"/>
        <w:numPr>
          <w:ilvl w:val="0"/>
          <w:numId w:val="2"/>
        </w:numPr>
        <w:rPr>
          <w:b/>
        </w:rPr>
      </w:pPr>
      <w:r w:rsidRPr="009211A7">
        <w:rPr>
          <w:b/>
        </w:rPr>
        <w:t xml:space="preserve">Gordon Brown, </w:t>
      </w:r>
      <w:r w:rsidRPr="009211A7">
        <w:rPr>
          <w:b/>
          <w:color w:val="242424"/>
          <w:highlight w:val="white"/>
        </w:rPr>
        <w:t>United Nations Secretary-General’s Special Envoy for Global Education</w:t>
      </w:r>
      <w:r w:rsidRPr="009211A7">
        <w:rPr>
          <w:b/>
        </w:rPr>
        <w:t xml:space="preserve"> </w:t>
      </w:r>
    </w:p>
    <w:p w14:paraId="00000007" w14:textId="77777777" w:rsidR="003B7972" w:rsidRPr="009211A7" w:rsidRDefault="00000000" w:rsidP="009211A7">
      <w:pPr>
        <w:pStyle w:val="ListParagraph"/>
        <w:numPr>
          <w:ilvl w:val="0"/>
          <w:numId w:val="2"/>
        </w:numPr>
        <w:rPr>
          <w:b/>
        </w:rPr>
      </w:pPr>
      <w:r w:rsidRPr="009211A7">
        <w:rPr>
          <w:b/>
        </w:rPr>
        <w:t>Mr. Leonardo Garnier, Special Advisor to the Secretary-General for the Transforming Education Summit</w:t>
      </w:r>
    </w:p>
    <w:p w14:paraId="00000008" w14:textId="77777777" w:rsidR="003B7972" w:rsidRDefault="003B7972"/>
    <w:p w14:paraId="00000009" w14:textId="77777777" w:rsidR="003B7972" w:rsidRDefault="00000000">
      <w:pPr>
        <w:rPr>
          <w:b/>
        </w:rPr>
      </w:pPr>
      <w:r>
        <w:t xml:space="preserve">Early childhood is a critical window of development. Ninety percent of a child’s brain develops before the age of five, yet 175 million children </w:t>
      </w:r>
      <w:r>
        <w:rPr>
          <w:highlight w:val="white"/>
        </w:rPr>
        <w:t>around the world are not enrolled in pre-primary education</w:t>
      </w:r>
      <w:r>
        <w:t>.</w:t>
      </w:r>
      <w:r>
        <w:rPr>
          <w:b/>
        </w:rPr>
        <w:t xml:space="preserve"> </w:t>
      </w:r>
    </w:p>
    <w:p w14:paraId="0000000A" w14:textId="77777777" w:rsidR="003B7972" w:rsidRDefault="003B7972"/>
    <w:p w14:paraId="0000000B" w14:textId="77777777" w:rsidR="003B7972" w:rsidRPr="009D5B1C" w:rsidRDefault="00000000">
      <w:pPr>
        <w:rPr>
          <w:rStyle w:val="Emphasis"/>
          <w:color w:val="000000" w:themeColor="text1"/>
        </w:rPr>
      </w:pPr>
      <w:r>
        <w:t xml:space="preserve">This is why we - the organisations and individuals supporting children of pre-primary </w:t>
      </w:r>
      <w:proofErr w:type="gramStart"/>
      <w:r>
        <w:t>age  -</w:t>
      </w:r>
      <w:proofErr w:type="gramEnd"/>
      <w:r>
        <w:t xml:space="preserve"> are calling </w:t>
      </w:r>
      <w:proofErr w:type="spellStart"/>
      <w:r>
        <w:rPr>
          <w:rFonts w:ascii="Calibri" w:eastAsia="Calibri" w:hAnsi="Calibri" w:cs="Calibri"/>
        </w:rPr>
        <w:t>calling</w:t>
      </w:r>
      <w:proofErr w:type="spellEnd"/>
      <w:r>
        <w:rPr>
          <w:rFonts w:ascii="Calibri" w:eastAsia="Calibri" w:hAnsi="Calibri" w:cs="Calibri"/>
        </w:rPr>
        <w:t xml:space="preserve"> on Summit participants – domestic governments and donors alike –</w:t>
      </w:r>
      <w:r>
        <w:rPr>
          <w:rFonts w:ascii="Calibri" w:eastAsia="Calibri" w:hAnsi="Calibri" w:cs="Calibri"/>
          <w:b/>
          <w:color w:val="FF0000"/>
        </w:rPr>
        <w:t xml:space="preserve"> </w:t>
      </w:r>
      <w:r w:rsidRPr="009D5B1C">
        <w:rPr>
          <w:rStyle w:val="Emphasis"/>
          <w:color w:val="000000" w:themeColor="text1"/>
        </w:rPr>
        <w:t>to commit to guaranteeing a minimum of two years of high-quality child-</w:t>
      </w:r>
      <w:proofErr w:type="spellStart"/>
      <w:r w:rsidRPr="009D5B1C">
        <w:rPr>
          <w:rStyle w:val="Emphasis"/>
          <w:color w:val="000000" w:themeColor="text1"/>
        </w:rPr>
        <w:t>centered</w:t>
      </w:r>
      <w:proofErr w:type="spellEnd"/>
      <w:r w:rsidRPr="009D5B1C">
        <w:rPr>
          <w:rStyle w:val="Emphasis"/>
          <w:color w:val="000000" w:themeColor="text1"/>
        </w:rPr>
        <w:t xml:space="preserve"> pre-primary education for all children. </w:t>
      </w:r>
    </w:p>
    <w:p w14:paraId="0000000C" w14:textId="77777777" w:rsidR="003B7972" w:rsidRDefault="00000000">
      <w:r>
        <w:t xml:space="preserve"> </w:t>
      </w:r>
    </w:p>
    <w:p w14:paraId="0000000D" w14:textId="77777777" w:rsidR="003B7972" w:rsidRDefault="00000000">
      <w:r>
        <w:t xml:space="preserve">The Transforming Education Summit is the moment to get things on track. The summit has correctly identified the importance of prioritising investment in pre-primary as a key driver of equity and inclusion in education, but real outcomes, targets and action are required - </w:t>
      </w:r>
      <w:proofErr w:type="gramStart"/>
      <w:r>
        <w:t>especially</w:t>
      </w:r>
      <w:proofErr w:type="gramEnd"/>
      <w:r>
        <w:t xml:space="preserve"> to promote gender equality. </w:t>
      </w:r>
    </w:p>
    <w:p w14:paraId="0000000E" w14:textId="77777777" w:rsidR="003B7972" w:rsidRDefault="003B7972"/>
    <w:p w14:paraId="0000000F" w14:textId="77777777" w:rsidR="003B7972" w:rsidRDefault="00000000">
      <w:proofErr w:type="gramStart"/>
      <w:r>
        <w:t>We  -</w:t>
      </w:r>
      <w:proofErr w:type="gramEnd"/>
      <w:r>
        <w:t xml:space="preserve"> the organisations and individuals supporting children under 5 - are calling governments to:</w:t>
      </w:r>
    </w:p>
    <w:p w14:paraId="00000010" w14:textId="77777777" w:rsidR="003B7972" w:rsidRDefault="003B7972">
      <w:pPr>
        <w:shd w:val="clear" w:color="auto" w:fill="FFFFFF"/>
      </w:pPr>
    </w:p>
    <w:p w14:paraId="00000011" w14:textId="6067FEBF" w:rsidR="003B7972" w:rsidRDefault="00000000">
      <w:pPr>
        <w:numPr>
          <w:ilvl w:val="0"/>
          <w:numId w:val="1"/>
        </w:numPr>
        <w:shd w:val="clear" w:color="auto" w:fill="FFFFFF"/>
      </w:pPr>
      <w:r w:rsidRPr="009D5B1C">
        <w:rPr>
          <w:rStyle w:val="Emphasis"/>
          <w:color w:val="000000" w:themeColor="text1"/>
        </w:rPr>
        <w:t xml:space="preserve">Invest 10% of all education funding to early childhood </w:t>
      </w:r>
      <w:r w:rsidR="009211A7" w:rsidRPr="009D5B1C">
        <w:rPr>
          <w:rStyle w:val="Emphasis"/>
          <w:color w:val="000000" w:themeColor="text1"/>
        </w:rPr>
        <w:t>education:</w:t>
      </w:r>
      <w:r w:rsidR="009211A7" w:rsidRPr="009D5B1C">
        <w:rPr>
          <w:b/>
          <w:color w:val="000000" w:themeColor="text1"/>
        </w:rPr>
        <w:t xml:space="preserve"> </w:t>
      </w:r>
      <w:r>
        <w:t xml:space="preserve">Every government should ensure that early childhood education is included in education sector planning and allocate a minimum of 10% of their education budgets into pre-primary (early childhood) education.   Donor governments should equally invest 10% of education aid into pre-primary (early childhood) education.  This would secure two years of free early childhood education. </w:t>
      </w:r>
    </w:p>
    <w:p w14:paraId="00000012" w14:textId="77777777" w:rsidR="003B7972" w:rsidRDefault="003B7972">
      <w:pPr>
        <w:shd w:val="clear" w:color="auto" w:fill="FFFFFF"/>
      </w:pPr>
    </w:p>
    <w:p w14:paraId="00000013" w14:textId="77777777" w:rsidR="003B7972" w:rsidRDefault="00000000">
      <w:pPr>
        <w:numPr>
          <w:ilvl w:val="0"/>
          <w:numId w:val="1"/>
        </w:numPr>
        <w:shd w:val="clear" w:color="auto" w:fill="FFFFFF"/>
      </w:pPr>
      <w:r w:rsidRPr="009D5B1C">
        <w:rPr>
          <w:rStyle w:val="Emphasis"/>
          <w:color w:val="000000" w:themeColor="text1"/>
        </w:rPr>
        <w:t>Support early years education and care in emergency and fragile contexts</w:t>
      </w:r>
      <w:r w:rsidRPr="009D5B1C">
        <w:rPr>
          <w:b/>
          <w:color w:val="000000" w:themeColor="text1"/>
        </w:rPr>
        <w:t xml:space="preserve">: </w:t>
      </w:r>
      <w:r>
        <w:t>Direct funds to support children and their families, including those who are displaced, who are struggling to keep their children safe and to meet their children’s basic needs including access to psychosocial support services for improved wellbeing and resilience.</w:t>
      </w:r>
    </w:p>
    <w:p w14:paraId="00000014" w14:textId="77777777" w:rsidR="003B7972" w:rsidRDefault="003B7972">
      <w:pPr>
        <w:shd w:val="clear" w:color="auto" w:fill="FFFFFF"/>
      </w:pPr>
    </w:p>
    <w:p w14:paraId="00000015" w14:textId="77777777" w:rsidR="003B7972" w:rsidRDefault="00000000">
      <w:pPr>
        <w:numPr>
          <w:ilvl w:val="0"/>
          <w:numId w:val="1"/>
        </w:numPr>
        <w:shd w:val="clear" w:color="auto" w:fill="FFFFFF"/>
      </w:pPr>
      <w:r w:rsidRPr="009D5B1C">
        <w:rPr>
          <w:rStyle w:val="Emphasis"/>
          <w:color w:val="000000" w:themeColor="text1"/>
        </w:rPr>
        <w:t>Invest in Early Childhood Development interventions that support learning</w:t>
      </w:r>
      <w:r w:rsidRPr="009D5B1C">
        <w:rPr>
          <w:b/>
          <w:color w:val="000000" w:themeColor="text1"/>
        </w:rPr>
        <w:t xml:space="preserve">: </w:t>
      </w:r>
      <w:r>
        <w:t>To ensure quality learning, urgently expand multi-</w:t>
      </w:r>
      <w:proofErr w:type="gramStart"/>
      <w:r>
        <w:t>sectoral  investments</w:t>
      </w:r>
      <w:proofErr w:type="gramEnd"/>
      <w:r>
        <w:t xml:space="preserve"> in the core components of nurturing care</w:t>
      </w:r>
      <w:r>
        <w:rPr>
          <w:color w:val="0000FF"/>
        </w:rPr>
        <w:t xml:space="preserve"> </w:t>
      </w:r>
      <w:r>
        <w:t xml:space="preserve">(good health, play, adequate </w:t>
      </w:r>
      <w:r>
        <w:rPr>
          <w:color w:val="222222"/>
        </w:rPr>
        <w:t xml:space="preserve">protection, </w:t>
      </w:r>
      <w:r>
        <w:t xml:space="preserve">nutrition, opportunities for </w:t>
      </w:r>
      <w:r>
        <w:lastRenderedPageBreak/>
        <w:t>learning, safety and security, and responsive care) as an essential part of development assistance, emergency response, and humanitarian action.</w:t>
      </w:r>
    </w:p>
    <w:p w14:paraId="00000016" w14:textId="77777777" w:rsidR="003B7972" w:rsidRDefault="003B7972">
      <w:pPr>
        <w:shd w:val="clear" w:color="auto" w:fill="FFFFFF"/>
        <w:spacing w:line="291" w:lineRule="auto"/>
        <w:ind w:left="720"/>
      </w:pPr>
    </w:p>
    <w:p w14:paraId="00000017" w14:textId="77777777" w:rsidR="003B7972" w:rsidRDefault="00000000">
      <w:r>
        <w:t xml:space="preserve">We are now just eight years away from 2030. Every subsequent year of delay raises the cost of inaction, putting the SDG 4.2 further out of reach. With a firm commitment aligned to broader objectives around mobilising more resources for education, we can secure young children’s futures.  </w:t>
      </w:r>
    </w:p>
    <w:p w14:paraId="00000018" w14:textId="77777777" w:rsidR="003B7972" w:rsidRDefault="003B7972"/>
    <w:p w14:paraId="00000019" w14:textId="77777777" w:rsidR="003B7972" w:rsidRDefault="00000000">
      <w:r>
        <w:t>Signed:</w:t>
      </w:r>
    </w:p>
    <w:p w14:paraId="0000001D" w14:textId="77777777" w:rsidR="003B7972" w:rsidRDefault="00000000">
      <w:pPr>
        <w:rPr>
          <w:b/>
          <w:color w:val="242424"/>
          <w:sz w:val="24"/>
          <w:szCs w:val="24"/>
        </w:rPr>
      </w:pPr>
      <w:r>
        <w:rPr>
          <w:b/>
          <w:color w:val="242424"/>
          <w:sz w:val="24"/>
          <w:szCs w:val="24"/>
        </w:rPr>
        <w:t xml:space="preserve">Plan International </w:t>
      </w:r>
    </w:p>
    <w:p w14:paraId="0000001E" w14:textId="77777777" w:rsidR="003B7972" w:rsidRDefault="003B7972">
      <w:pPr>
        <w:rPr>
          <w:b/>
          <w:color w:val="242424"/>
          <w:sz w:val="24"/>
          <w:szCs w:val="24"/>
        </w:rPr>
      </w:pPr>
    </w:p>
    <w:p w14:paraId="0000001F" w14:textId="77777777" w:rsidR="003B7972" w:rsidRDefault="00000000">
      <w:pPr>
        <w:rPr>
          <w:b/>
          <w:color w:val="242424"/>
          <w:sz w:val="24"/>
          <w:szCs w:val="24"/>
        </w:rPr>
      </w:pPr>
      <w:r>
        <w:rPr>
          <w:b/>
          <w:color w:val="242424"/>
          <w:sz w:val="24"/>
          <w:szCs w:val="24"/>
        </w:rPr>
        <w:t>The Lego Foundation</w:t>
      </w:r>
    </w:p>
    <w:p w14:paraId="00000020" w14:textId="77777777" w:rsidR="003B7972" w:rsidRDefault="003B7972">
      <w:pPr>
        <w:rPr>
          <w:b/>
          <w:color w:val="242424"/>
          <w:sz w:val="24"/>
          <w:szCs w:val="24"/>
        </w:rPr>
      </w:pPr>
    </w:p>
    <w:p w14:paraId="00000021" w14:textId="77777777" w:rsidR="003B7972" w:rsidRDefault="00000000">
      <w:pPr>
        <w:rPr>
          <w:b/>
          <w:color w:val="242424"/>
          <w:sz w:val="24"/>
          <w:szCs w:val="24"/>
        </w:rPr>
      </w:pPr>
      <w:r>
        <w:rPr>
          <w:b/>
          <w:color w:val="242424"/>
          <w:sz w:val="24"/>
          <w:szCs w:val="24"/>
        </w:rPr>
        <w:t>Sesame Workshop</w:t>
      </w:r>
    </w:p>
    <w:p w14:paraId="00000022" w14:textId="77777777" w:rsidR="003B7972" w:rsidRDefault="003B7972">
      <w:pPr>
        <w:rPr>
          <w:b/>
          <w:color w:val="242424"/>
          <w:sz w:val="24"/>
          <w:szCs w:val="24"/>
        </w:rPr>
      </w:pPr>
    </w:p>
    <w:p w14:paraId="00000023" w14:textId="77777777" w:rsidR="003B7972" w:rsidRDefault="00000000">
      <w:pPr>
        <w:rPr>
          <w:b/>
          <w:color w:val="242424"/>
          <w:sz w:val="24"/>
          <w:szCs w:val="24"/>
        </w:rPr>
      </w:pPr>
      <w:r>
        <w:rPr>
          <w:b/>
          <w:color w:val="242424"/>
          <w:sz w:val="24"/>
          <w:szCs w:val="24"/>
        </w:rPr>
        <w:t>International Rescue Committee</w:t>
      </w:r>
    </w:p>
    <w:p w14:paraId="00000024" w14:textId="77777777" w:rsidR="003B7972" w:rsidRDefault="003B7972">
      <w:pPr>
        <w:rPr>
          <w:b/>
          <w:color w:val="242424"/>
          <w:sz w:val="24"/>
          <w:szCs w:val="24"/>
        </w:rPr>
      </w:pPr>
    </w:p>
    <w:p w14:paraId="00000025" w14:textId="77777777" w:rsidR="003B7972" w:rsidRDefault="00000000">
      <w:pPr>
        <w:rPr>
          <w:b/>
          <w:color w:val="242424"/>
          <w:sz w:val="24"/>
          <w:szCs w:val="24"/>
        </w:rPr>
      </w:pPr>
      <w:r>
        <w:rPr>
          <w:b/>
          <w:color w:val="242424"/>
          <w:sz w:val="24"/>
          <w:szCs w:val="24"/>
        </w:rPr>
        <w:t>BRAC</w:t>
      </w:r>
    </w:p>
    <w:p w14:paraId="00000026" w14:textId="77777777" w:rsidR="003B7972" w:rsidRDefault="003B7972">
      <w:pPr>
        <w:rPr>
          <w:b/>
          <w:color w:val="242424"/>
          <w:sz w:val="24"/>
          <w:szCs w:val="24"/>
        </w:rPr>
      </w:pPr>
    </w:p>
    <w:p w14:paraId="00000027" w14:textId="77777777" w:rsidR="003B7972" w:rsidRDefault="00000000">
      <w:pPr>
        <w:rPr>
          <w:b/>
          <w:color w:val="242424"/>
          <w:sz w:val="24"/>
          <w:szCs w:val="24"/>
        </w:rPr>
      </w:pPr>
      <w:proofErr w:type="spellStart"/>
      <w:r>
        <w:rPr>
          <w:b/>
          <w:color w:val="242424"/>
          <w:sz w:val="24"/>
          <w:szCs w:val="24"/>
        </w:rPr>
        <w:t>iACT</w:t>
      </w:r>
      <w:proofErr w:type="spellEnd"/>
    </w:p>
    <w:p w14:paraId="00000028" w14:textId="77777777" w:rsidR="003B7972" w:rsidRDefault="003B7972">
      <w:pPr>
        <w:rPr>
          <w:b/>
          <w:color w:val="242424"/>
          <w:sz w:val="24"/>
          <w:szCs w:val="24"/>
        </w:rPr>
      </w:pPr>
    </w:p>
    <w:p w14:paraId="00000029" w14:textId="77777777" w:rsidR="003B7972" w:rsidRDefault="00000000">
      <w:pPr>
        <w:rPr>
          <w:b/>
          <w:color w:val="242424"/>
          <w:sz w:val="24"/>
          <w:szCs w:val="24"/>
        </w:rPr>
      </w:pPr>
      <w:r>
        <w:rPr>
          <w:b/>
          <w:color w:val="242424"/>
          <w:sz w:val="24"/>
          <w:szCs w:val="24"/>
        </w:rPr>
        <w:t>Arab Network for Early Childhood</w:t>
      </w:r>
    </w:p>
    <w:p w14:paraId="0000002A" w14:textId="77777777" w:rsidR="003B7972" w:rsidRDefault="003B7972">
      <w:pPr>
        <w:rPr>
          <w:b/>
          <w:i/>
          <w:color w:val="242424"/>
          <w:sz w:val="24"/>
          <w:szCs w:val="24"/>
        </w:rPr>
      </w:pPr>
    </w:p>
    <w:p w14:paraId="0000002B" w14:textId="77777777" w:rsidR="003B7972" w:rsidRDefault="00000000">
      <w:pPr>
        <w:rPr>
          <w:b/>
          <w:color w:val="242424"/>
          <w:sz w:val="24"/>
          <w:szCs w:val="24"/>
        </w:rPr>
      </w:pPr>
      <w:r>
        <w:rPr>
          <w:b/>
          <w:color w:val="242424"/>
          <w:sz w:val="24"/>
          <w:szCs w:val="24"/>
        </w:rPr>
        <w:t>Early Opportunities Initiative</w:t>
      </w:r>
    </w:p>
    <w:p w14:paraId="0000002C" w14:textId="77777777" w:rsidR="003B7972" w:rsidRDefault="003B7972">
      <w:pPr>
        <w:rPr>
          <w:b/>
          <w:color w:val="242424"/>
          <w:sz w:val="24"/>
          <w:szCs w:val="24"/>
        </w:rPr>
      </w:pPr>
    </w:p>
    <w:p w14:paraId="0000002D" w14:textId="77777777" w:rsidR="003B7972" w:rsidRDefault="00000000">
      <w:pPr>
        <w:rPr>
          <w:b/>
          <w:color w:val="242424"/>
          <w:sz w:val="24"/>
          <w:szCs w:val="24"/>
        </w:rPr>
      </w:pPr>
      <w:r>
        <w:rPr>
          <w:b/>
          <w:color w:val="242424"/>
        </w:rPr>
        <w:t>The Asia-Pacific Regional Network for Early Childhood (ARNEC)</w:t>
      </w:r>
    </w:p>
    <w:p w14:paraId="0000002E" w14:textId="77777777" w:rsidR="003B7972" w:rsidRDefault="003B7972">
      <w:pPr>
        <w:rPr>
          <w:b/>
          <w:color w:val="242424"/>
          <w:sz w:val="24"/>
          <w:szCs w:val="24"/>
        </w:rPr>
      </w:pPr>
    </w:p>
    <w:p w14:paraId="0000002F" w14:textId="77777777" w:rsidR="003B7972" w:rsidRDefault="00000000">
      <w:pPr>
        <w:rPr>
          <w:b/>
          <w:color w:val="242424"/>
          <w:sz w:val="24"/>
          <w:szCs w:val="24"/>
        </w:rPr>
      </w:pPr>
      <w:r>
        <w:rPr>
          <w:b/>
          <w:color w:val="242424"/>
          <w:sz w:val="24"/>
          <w:szCs w:val="24"/>
        </w:rPr>
        <w:t xml:space="preserve">The Education Commission </w:t>
      </w:r>
    </w:p>
    <w:p w14:paraId="00000030" w14:textId="77777777" w:rsidR="003B7972" w:rsidRDefault="003B7972">
      <w:pPr>
        <w:rPr>
          <w:b/>
          <w:color w:val="242424"/>
          <w:sz w:val="24"/>
          <w:szCs w:val="24"/>
        </w:rPr>
      </w:pPr>
    </w:p>
    <w:p w14:paraId="00000031" w14:textId="77777777" w:rsidR="003B7972" w:rsidRDefault="00000000">
      <w:pPr>
        <w:rPr>
          <w:b/>
          <w:color w:val="242424"/>
          <w:sz w:val="24"/>
          <w:szCs w:val="24"/>
        </w:rPr>
      </w:pPr>
      <w:r>
        <w:rPr>
          <w:b/>
          <w:color w:val="242424"/>
          <w:sz w:val="24"/>
          <w:szCs w:val="24"/>
        </w:rPr>
        <w:t>Theirworld</w:t>
      </w:r>
    </w:p>
    <w:p w14:paraId="00000032" w14:textId="77777777" w:rsidR="003B7972" w:rsidRDefault="003B7972">
      <w:pPr>
        <w:rPr>
          <w:b/>
          <w:color w:val="242424"/>
          <w:sz w:val="24"/>
          <w:szCs w:val="24"/>
        </w:rPr>
      </w:pPr>
    </w:p>
    <w:p w14:paraId="00000033" w14:textId="77777777" w:rsidR="003B7972" w:rsidRDefault="00000000">
      <w:pPr>
        <w:rPr>
          <w:b/>
          <w:color w:val="242424"/>
          <w:sz w:val="24"/>
          <w:szCs w:val="24"/>
        </w:rPr>
      </w:pPr>
      <w:r>
        <w:rPr>
          <w:b/>
          <w:color w:val="242424"/>
          <w:sz w:val="24"/>
          <w:szCs w:val="24"/>
        </w:rPr>
        <w:t xml:space="preserve">ISSA - International Step by Step Association </w:t>
      </w:r>
    </w:p>
    <w:p w14:paraId="00000034" w14:textId="77777777" w:rsidR="003B7972" w:rsidRDefault="003B7972">
      <w:pPr>
        <w:rPr>
          <w:b/>
          <w:color w:val="242424"/>
          <w:sz w:val="24"/>
          <w:szCs w:val="24"/>
        </w:rPr>
      </w:pPr>
    </w:p>
    <w:p w14:paraId="00000035" w14:textId="77777777" w:rsidR="003B7972" w:rsidRDefault="00000000">
      <w:pPr>
        <w:rPr>
          <w:b/>
          <w:color w:val="242424"/>
          <w:sz w:val="24"/>
          <w:szCs w:val="24"/>
        </w:rPr>
      </w:pPr>
      <w:r>
        <w:rPr>
          <w:b/>
          <w:color w:val="242424"/>
          <w:sz w:val="24"/>
          <w:szCs w:val="24"/>
        </w:rPr>
        <w:t xml:space="preserve">Global Business Coalition for Education </w:t>
      </w:r>
    </w:p>
    <w:p w14:paraId="00000036" w14:textId="77777777" w:rsidR="003B7972" w:rsidRDefault="003B7972">
      <w:pPr>
        <w:rPr>
          <w:b/>
          <w:color w:val="242424"/>
          <w:sz w:val="24"/>
          <w:szCs w:val="24"/>
        </w:rPr>
      </w:pPr>
    </w:p>
    <w:p w14:paraId="00000037" w14:textId="77777777" w:rsidR="003B7972" w:rsidRDefault="00000000">
      <w:pPr>
        <w:rPr>
          <w:b/>
          <w:color w:val="242424"/>
          <w:sz w:val="24"/>
          <w:szCs w:val="24"/>
        </w:rPr>
      </w:pPr>
      <w:r>
        <w:rPr>
          <w:b/>
          <w:color w:val="242424"/>
          <w:sz w:val="24"/>
          <w:szCs w:val="24"/>
        </w:rPr>
        <w:t xml:space="preserve">Porticus </w:t>
      </w:r>
    </w:p>
    <w:p w14:paraId="00000038" w14:textId="77777777" w:rsidR="003B7972" w:rsidRDefault="003B7972">
      <w:pPr>
        <w:rPr>
          <w:b/>
          <w:color w:val="242424"/>
          <w:sz w:val="24"/>
          <w:szCs w:val="24"/>
        </w:rPr>
      </w:pPr>
    </w:p>
    <w:p w14:paraId="00000039" w14:textId="77777777" w:rsidR="003B7972" w:rsidRDefault="00000000">
      <w:pPr>
        <w:rPr>
          <w:b/>
          <w:color w:val="242424"/>
          <w:sz w:val="24"/>
          <w:szCs w:val="24"/>
        </w:rPr>
      </w:pPr>
      <w:r>
        <w:rPr>
          <w:b/>
          <w:color w:val="242424"/>
          <w:sz w:val="24"/>
          <w:szCs w:val="24"/>
        </w:rPr>
        <w:t xml:space="preserve">Amna </w:t>
      </w:r>
    </w:p>
    <w:p w14:paraId="0000003A" w14:textId="77777777" w:rsidR="003B7972" w:rsidRDefault="003B7972">
      <w:pPr>
        <w:rPr>
          <w:b/>
          <w:color w:val="242424"/>
          <w:sz w:val="24"/>
          <w:szCs w:val="24"/>
        </w:rPr>
      </w:pPr>
    </w:p>
    <w:p w14:paraId="0000003B" w14:textId="77777777" w:rsidR="003B7972" w:rsidRDefault="00000000">
      <w:pPr>
        <w:rPr>
          <w:b/>
          <w:color w:val="242424"/>
          <w:sz w:val="24"/>
          <w:szCs w:val="24"/>
        </w:rPr>
      </w:pPr>
      <w:r>
        <w:rPr>
          <w:b/>
          <w:color w:val="242424"/>
          <w:sz w:val="24"/>
          <w:szCs w:val="24"/>
        </w:rPr>
        <w:t>Early Childhood Development Action Network</w:t>
      </w:r>
    </w:p>
    <w:p w14:paraId="0000003C" w14:textId="77777777" w:rsidR="003B7972" w:rsidRDefault="003B7972">
      <w:pPr>
        <w:rPr>
          <w:b/>
          <w:color w:val="242424"/>
          <w:sz w:val="24"/>
          <w:szCs w:val="24"/>
        </w:rPr>
      </w:pPr>
    </w:p>
    <w:p w14:paraId="0000003D" w14:textId="06D02662" w:rsidR="003B7972" w:rsidRDefault="00000000">
      <w:pPr>
        <w:rPr>
          <w:b/>
          <w:color w:val="242424"/>
          <w:sz w:val="24"/>
          <w:szCs w:val="24"/>
        </w:rPr>
      </w:pPr>
      <w:r>
        <w:rPr>
          <w:b/>
          <w:color w:val="242424"/>
          <w:sz w:val="24"/>
          <w:szCs w:val="24"/>
        </w:rPr>
        <w:t xml:space="preserve">University of Virginia Humanitarian Collaborative </w:t>
      </w:r>
    </w:p>
    <w:p w14:paraId="6C7F6BFC" w14:textId="77777777" w:rsidR="00135DA7" w:rsidRDefault="00135DA7">
      <w:pPr>
        <w:rPr>
          <w:b/>
          <w:color w:val="242424"/>
          <w:sz w:val="24"/>
          <w:szCs w:val="24"/>
        </w:rPr>
      </w:pPr>
    </w:p>
    <w:p w14:paraId="00000041" w14:textId="6DDDAE95" w:rsidR="003B7972" w:rsidRDefault="00135DA7">
      <w:pPr>
        <w:rPr>
          <w:b/>
          <w:color w:val="242424"/>
          <w:sz w:val="24"/>
          <w:szCs w:val="24"/>
        </w:rPr>
      </w:pPr>
      <w:r>
        <w:rPr>
          <w:b/>
          <w:color w:val="242424"/>
          <w:sz w:val="24"/>
          <w:szCs w:val="24"/>
        </w:rPr>
        <w:t>Dubai Cares</w:t>
      </w:r>
    </w:p>
    <w:sectPr w:rsidR="003B7972">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0D7BF" w14:textId="77777777" w:rsidR="003315D1" w:rsidRDefault="003315D1">
      <w:pPr>
        <w:spacing w:line="240" w:lineRule="auto"/>
      </w:pPr>
      <w:r>
        <w:separator/>
      </w:r>
    </w:p>
  </w:endnote>
  <w:endnote w:type="continuationSeparator" w:id="0">
    <w:p w14:paraId="0F6D0133" w14:textId="77777777" w:rsidR="003315D1" w:rsidRDefault="003315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EC924" w14:textId="77777777" w:rsidR="003315D1" w:rsidRDefault="003315D1">
      <w:pPr>
        <w:spacing w:line="240" w:lineRule="auto"/>
      </w:pPr>
      <w:r>
        <w:separator/>
      </w:r>
    </w:p>
  </w:footnote>
  <w:footnote w:type="continuationSeparator" w:id="0">
    <w:p w14:paraId="3654BE4E" w14:textId="77777777" w:rsidR="003315D1" w:rsidRDefault="003315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7777777" w:rsidR="003B7972" w:rsidRDefault="003B7972"/>
  <w:p w14:paraId="00000043" w14:textId="77777777" w:rsidR="003B7972" w:rsidRDefault="003B79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B1130"/>
    <w:multiLevelType w:val="hybridMultilevel"/>
    <w:tmpl w:val="0D80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BA4A94"/>
    <w:multiLevelType w:val="multilevel"/>
    <w:tmpl w:val="21483F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31000106">
    <w:abstractNumId w:val="1"/>
  </w:num>
  <w:num w:numId="2" w16cid:durableId="75175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972"/>
    <w:rsid w:val="00046A51"/>
    <w:rsid w:val="00135DA7"/>
    <w:rsid w:val="001C3162"/>
    <w:rsid w:val="003315D1"/>
    <w:rsid w:val="003B7972"/>
    <w:rsid w:val="005501C5"/>
    <w:rsid w:val="009211A7"/>
    <w:rsid w:val="009D5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80B797"/>
  <w15:docId w15:val="{C01C205E-438B-CD47-8D64-B651AE27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211A7"/>
    <w:pPr>
      <w:ind w:left="720"/>
      <w:contextualSpacing/>
    </w:pPr>
  </w:style>
  <w:style w:type="character" w:styleId="Emphasis">
    <w:name w:val="Emphasis"/>
    <w:uiPriority w:val="20"/>
    <w:qFormat/>
    <w:rsid w:val="009211A7"/>
    <w:rPr>
      <w:rFonts w:ascii="Calibri" w:eastAsia="Calibri" w:hAnsi="Calibri" w:cs="Calibri"/>
      <w:b/>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Darika Ahrens</cp:lastModifiedBy>
  <cp:revision>2</cp:revision>
  <dcterms:created xsi:type="dcterms:W3CDTF">2022-06-29T06:20:00Z</dcterms:created>
  <dcterms:modified xsi:type="dcterms:W3CDTF">2022-06-29T06:20:00Z</dcterms:modified>
</cp:coreProperties>
</file>